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4F2302E5" w:rsidR="00EB38FD" w:rsidRPr="00086D42" w:rsidRDefault="00435B27">
      <w:pPr>
        <w:pStyle w:val="P68B1DB1-Normal1"/>
        <w:spacing w:after="120" w:line="240" w:lineRule="auto"/>
        <w:jc w:val="center"/>
        <w:rPr>
          <w:noProof/>
          <w:lang w:val="en-US"/>
        </w:rPr>
      </w:pPr>
      <w:r w:rsidRPr="00086D42">
        <w:rPr>
          <w:noProof/>
          <w:lang w:val="en-US"/>
        </w:rPr>
        <w:t>Information notes on the items on the agenda of the Extraordinary General Meeting of Shareholders scheduled for May 31, 2022 / June 2, 2022</w:t>
      </w:r>
    </w:p>
    <w:p w14:paraId="4FF8B6C8" w14:textId="77777777" w:rsidR="00EB38FD" w:rsidRPr="00086D42" w:rsidRDefault="00EB38FD">
      <w:pPr>
        <w:spacing w:after="0" w:line="276" w:lineRule="auto"/>
        <w:jc w:val="both"/>
        <w:rPr>
          <w:rFonts w:cstheme="minorHAnsi"/>
          <w:b/>
          <w:noProof/>
          <w:lang w:val="en-US"/>
        </w:rPr>
      </w:pPr>
    </w:p>
    <w:p w14:paraId="06039AE2" w14:textId="77777777" w:rsidR="00EB38FD" w:rsidRPr="00086D42" w:rsidRDefault="00EB38FD">
      <w:pPr>
        <w:spacing w:after="0" w:line="276" w:lineRule="auto"/>
        <w:jc w:val="both"/>
        <w:rPr>
          <w:rFonts w:cstheme="minorHAnsi"/>
          <w:b/>
          <w:noProof/>
          <w:lang w:val="en-US"/>
        </w:rPr>
      </w:pPr>
    </w:p>
    <w:p w14:paraId="78EC678B" w14:textId="1B2FC781" w:rsidR="00EB38FD" w:rsidRPr="00086D42" w:rsidRDefault="00435B27">
      <w:pPr>
        <w:spacing w:after="120"/>
        <w:jc w:val="both"/>
        <w:rPr>
          <w:rFonts w:ascii="Arial Narrow" w:eastAsia="Arial Narrow" w:hAnsi="Arial Narrow" w:cs="Arial Narrow"/>
          <w:noProof/>
          <w:color w:val="0E101A"/>
          <w:lang w:val="en-US"/>
        </w:rPr>
      </w:pPr>
      <w:r w:rsidRPr="00086D42">
        <w:rPr>
          <w:rFonts w:cstheme="minorHAnsi"/>
          <w:b/>
          <w:noProof/>
          <w:lang w:val="en-US"/>
        </w:rPr>
        <w:t>1. Approval of the acquisition by the Company of the shares representing the entire share capital of Enea Services Romania S.R.L.</w:t>
      </w:r>
      <w:r w:rsidRPr="00086D42">
        <w:rPr>
          <w:rFonts w:ascii="Arial Narrow" w:eastAsia="Arial Narrow" w:hAnsi="Arial Narrow" w:cs="Arial Narrow"/>
          <w:noProof/>
          <w:color w:val="0E101A"/>
          <w:lang w:val="en-US"/>
        </w:rPr>
        <w:t xml:space="preserve"> </w:t>
      </w:r>
    </w:p>
    <w:p w14:paraId="42418A20" w14:textId="06E3421F" w:rsidR="00EB38FD" w:rsidRPr="00086D42" w:rsidRDefault="00435B27">
      <w:pPr>
        <w:pStyle w:val="P68B1DB1-Normal2"/>
        <w:spacing w:after="120"/>
        <w:ind w:firstLine="720"/>
        <w:jc w:val="both"/>
        <w:rPr>
          <w:noProof/>
          <w:lang w:val="en-US"/>
        </w:rPr>
      </w:pPr>
      <w:r w:rsidRPr="00086D42">
        <w:rPr>
          <w:noProof/>
          <w:lang w:val="en-US"/>
        </w:rPr>
        <w:t xml:space="preserve">AROBS Transilvania Software announced on April 7 the signing of the contract for the takeover of Enea Software Development Software Services (Enea Services Romania SRL), a subsidiary entirely owned by Enea Software AB, whose parent company Enea AB is listed on Nasdaq Stockholm. With this transaction, the largest in the Company's history, AROBS will strengthen its Software Services division by integrating approximately 160 employees into the group and will further strengthen its presence in Romania and in the US, while expanding its customer portfolio on the European and US markets. </w:t>
      </w:r>
    </w:p>
    <w:p w14:paraId="706CFCD0" w14:textId="77777777" w:rsidR="00EB38FD" w:rsidRPr="00086D42" w:rsidRDefault="00435B27">
      <w:pPr>
        <w:spacing w:after="120"/>
        <w:ind w:firstLine="720"/>
        <w:jc w:val="both"/>
        <w:rPr>
          <w:rFonts w:cstheme="minorHAnsi"/>
          <w:noProof/>
          <w:lang w:val="en-US"/>
        </w:rPr>
      </w:pPr>
      <w:r w:rsidRPr="00086D42">
        <w:rPr>
          <w:rFonts w:eastAsia="Arial Narrow" w:cstheme="minorHAnsi"/>
          <w:noProof/>
          <w:color w:val="0E101A"/>
          <w:lang w:val="en-US"/>
        </w:rPr>
        <w:t>With a total turnover of around EUR 12 million in 2021, Enea Software Development Services offers a mix of full-service competence, including software design and architecture, development, porting, integration, validation and quality assurance, with expertise in embedded systems - software and hardware, as well as outsourced research and development, in various fields such as medical, maritime and embedded devices.</w:t>
      </w:r>
      <w:r w:rsidRPr="00086D42">
        <w:rPr>
          <w:rFonts w:cstheme="minorHAnsi"/>
          <w:noProof/>
          <w:lang w:val="en-US"/>
        </w:rPr>
        <w:t xml:space="preserve"> </w:t>
      </w:r>
      <w:r w:rsidRPr="00086D42">
        <w:rPr>
          <w:rFonts w:eastAsia="Arial Narrow" w:cstheme="minorHAnsi"/>
          <w:noProof/>
          <w:color w:val="0E101A"/>
          <w:lang w:val="en-US"/>
        </w:rPr>
        <w:t xml:space="preserve">The Company has helped customers build solutions that have been used in over 20 countries on four continents – Europe, North America, Asia and Africa. </w:t>
      </w:r>
    </w:p>
    <w:p w14:paraId="202BB884" w14:textId="77777777" w:rsidR="00EB38FD" w:rsidRPr="00086D42" w:rsidRDefault="00435B27">
      <w:pPr>
        <w:pStyle w:val="P68B1DB1-Normal3"/>
        <w:spacing w:after="120"/>
        <w:ind w:firstLine="720"/>
        <w:jc w:val="both"/>
        <w:rPr>
          <w:noProof/>
          <w:lang w:val="en-US"/>
        </w:rPr>
      </w:pPr>
      <w:r w:rsidRPr="00086D42">
        <w:rPr>
          <w:noProof/>
          <w:lang w:val="en-US"/>
        </w:rPr>
        <w:t xml:space="preserve">This is the second transaction undertaken by AROBS since the announcement of its listing on the Bucharest Stock Exchange, following the acquisition of Berg Software Timisoara at the end of 2021 and the sixth in the last four years. </w:t>
      </w:r>
    </w:p>
    <w:p w14:paraId="576C4A58" w14:textId="77777777" w:rsidR="00EB38FD" w:rsidRPr="00086D42" w:rsidRDefault="00EB38FD">
      <w:pPr>
        <w:pStyle w:val="ListParagraph"/>
        <w:spacing w:after="120"/>
        <w:jc w:val="both"/>
        <w:rPr>
          <w:rFonts w:ascii="Calibri" w:eastAsia="Arial Narrow" w:hAnsi="Calibri" w:cs="Calibri"/>
          <w:noProof/>
          <w:color w:val="0E101A"/>
          <w:lang w:val="en-US"/>
        </w:rPr>
      </w:pPr>
    </w:p>
    <w:p w14:paraId="13A2CD58" w14:textId="03B4D70A" w:rsidR="00EB38FD" w:rsidRPr="00086D42" w:rsidRDefault="00435B27">
      <w:pPr>
        <w:pStyle w:val="P68B1DB1-Normal1"/>
        <w:spacing w:after="0" w:line="276" w:lineRule="auto"/>
        <w:jc w:val="both"/>
        <w:rPr>
          <w:noProof/>
          <w:lang w:val="en-US"/>
        </w:rPr>
      </w:pPr>
      <w:r w:rsidRPr="00086D42">
        <w:rPr>
          <w:noProof/>
          <w:lang w:val="en-US"/>
        </w:rPr>
        <w:t>2. Giving powers to the General Manager, Voicu Oprean</w:t>
      </w:r>
    </w:p>
    <w:p w14:paraId="5E4D8D47" w14:textId="7494D979" w:rsidR="00EB38FD" w:rsidRPr="00086D42" w:rsidRDefault="00435B27">
      <w:pPr>
        <w:spacing w:after="120"/>
        <w:jc w:val="both"/>
        <w:rPr>
          <w:rFonts w:ascii="Arial Narrow" w:eastAsia="Arial Narrow" w:hAnsi="Arial Narrow" w:cs="Arial Narrow"/>
          <w:noProof/>
          <w:color w:val="0E101A"/>
          <w:lang w:val="en-US"/>
        </w:rPr>
      </w:pPr>
      <w:r w:rsidRPr="00086D42">
        <w:rPr>
          <w:rFonts w:cstheme="minorHAnsi"/>
          <w:noProof/>
          <w:lang w:val="en-US"/>
        </w:rPr>
        <w:t>Mr Oprean Voicu, in his capacity as General Manager of the Company, was proposed to sign any documents necessary to complete the</w:t>
      </w:r>
      <w:r w:rsidRPr="00086D42">
        <w:rPr>
          <w:rFonts w:cstheme="minorHAnsi"/>
          <w:b/>
          <w:noProof/>
          <w:lang w:val="en-US"/>
        </w:rPr>
        <w:t xml:space="preserve"> </w:t>
      </w:r>
      <w:r w:rsidRPr="00086D42">
        <w:rPr>
          <w:rFonts w:cstheme="minorHAnsi"/>
          <w:noProof/>
          <w:lang w:val="en-US"/>
        </w:rPr>
        <w:t>Purchase Transaction of Enea Services Romania S.R.L.</w:t>
      </w:r>
      <w:r w:rsidRPr="00086D42">
        <w:rPr>
          <w:rFonts w:ascii="Arial Narrow" w:eastAsia="Arial Narrow" w:hAnsi="Arial Narrow" w:cs="Arial Narrow"/>
          <w:noProof/>
          <w:color w:val="0E101A"/>
          <w:lang w:val="en-US"/>
        </w:rPr>
        <w:t xml:space="preserve"> </w:t>
      </w:r>
    </w:p>
    <w:p w14:paraId="4634E7B4" w14:textId="77777777" w:rsidR="00EB38FD" w:rsidRPr="00086D42" w:rsidRDefault="00EB38FD">
      <w:pPr>
        <w:pStyle w:val="ListParagraph"/>
        <w:spacing w:after="120" w:line="240" w:lineRule="auto"/>
        <w:ind w:left="0"/>
        <w:jc w:val="both"/>
        <w:rPr>
          <w:noProof/>
          <w:sz w:val="24"/>
          <w:lang w:val="en-US"/>
        </w:rPr>
      </w:pPr>
    </w:p>
    <w:p w14:paraId="38638AE9" w14:textId="774078E0" w:rsidR="00EB38FD" w:rsidRPr="00086D42" w:rsidRDefault="00435B27">
      <w:pPr>
        <w:pStyle w:val="P68B1DB1-ListParagraph4"/>
        <w:spacing w:after="120" w:line="240" w:lineRule="auto"/>
        <w:ind w:left="0"/>
        <w:jc w:val="both"/>
        <w:rPr>
          <w:b/>
          <w:noProof/>
          <w:lang w:val="en-US"/>
        </w:rPr>
      </w:pPr>
      <w:r w:rsidRPr="00086D42">
        <w:rPr>
          <w:noProof/>
          <w:lang w:val="en-US"/>
        </w:rPr>
        <w:t xml:space="preserve">3. </w:t>
      </w:r>
      <w:r w:rsidRPr="00086D42">
        <w:rPr>
          <w:b/>
          <w:noProof/>
          <w:lang w:val="en-US"/>
        </w:rPr>
        <w:t xml:space="preserve">Approval of June 17, 2022 </w:t>
      </w:r>
      <w:r w:rsidR="00551BA0" w:rsidRPr="00551BA0">
        <w:rPr>
          <w:rFonts w:ascii="Calibri" w:hAnsi="Calibri" w:cs="Calibri"/>
          <w:b/>
        </w:rPr>
        <w:t xml:space="preserve">as the </w:t>
      </w:r>
      <w:r w:rsidR="00551BA0" w:rsidRPr="00551BA0">
        <w:rPr>
          <w:rFonts w:ascii="Calibri" w:hAnsi="Calibri" w:cs="Calibri"/>
          <w:b/>
          <w:noProof/>
          <w:lang w:val="ro-RO"/>
        </w:rPr>
        <w:t>registration</w:t>
      </w:r>
      <w:r w:rsidR="00551BA0" w:rsidRPr="00551BA0">
        <w:rPr>
          <w:rFonts w:ascii="Calibri" w:hAnsi="Calibri" w:cs="Calibri"/>
          <w:b/>
        </w:rPr>
        <w:t xml:space="preserve"> date</w:t>
      </w:r>
      <w:r w:rsidR="00551BA0" w:rsidRPr="008C4356">
        <w:rPr>
          <w:rFonts w:ascii="Calibri" w:hAnsi="Calibri" w:cs="Calibri"/>
          <w:bCs/>
        </w:rPr>
        <w:t xml:space="preserve"> </w:t>
      </w:r>
      <w:r w:rsidRPr="00086D42">
        <w:rPr>
          <w:b/>
          <w:noProof/>
          <w:lang w:val="en-US"/>
        </w:rPr>
        <w:t>(ex-date June 16, 2022).</w:t>
      </w:r>
    </w:p>
    <w:p w14:paraId="5DD4CD88" w14:textId="5D6202A0" w:rsidR="00EB38FD" w:rsidRPr="00086D42" w:rsidRDefault="00435B27">
      <w:pPr>
        <w:pStyle w:val="ListParagraph"/>
        <w:spacing w:after="120" w:line="240" w:lineRule="auto"/>
        <w:ind w:left="0" w:firstLine="720"/>
        <w:jc w:val="both"/>
        <w:rPr>
          <w:noProof/>
          <w:lang w:val="en-US"/>
        </w:rPr>
      </w:pPr>
      <w:r w:rsidRPr="00086D42">
        <w:rPr>
          <w:noProof/>
          <w:lang w:val="en-US"/>
        </w:rPr>
        <w:t xml:space="preserve">In accordance with Article 86 paragraph (1) of the Law 24/2017 on issuers of financial instruments and market operations, </w:t>
      </w:r>
      <w:r w:rsidR="00551BA0" w:rsidRPr="008C4356">
        <w:rPr>
          <w:rFonts w:ascii="Calibri" w:hAnsi="Calibri" w:cs="Calibri"/>
          <w:bCs/>
        </w:rPr>
        <w:t xml:space="preserve">the </w:t>
      </w:r>
      <w:r w:rsidR="00551BA0" w:rsidRPr="008C4356">
        <w:rPr>
          <w:rFonts w:ascii="Calibri" w:hAnsi="Calibri" w:cs="Calibri"/>
          <w:noProof/>
          <w:lang w:val="ro-RO"/>
        </w:rPr>
        <w:t>registration</w:t>
      </w:r>
      <w:r w:rsidR="00551BA0" w:rsidRPr="008C4356">
        <w:rPr>
          <w:rFonts w:ascii="Calibri" w:hAnsi="Calibri" w:cs="Calibri"/>
          <w:bCs/>
        </w:rPr>
        <w:t xml:space="preserve"> </w:t>
      </w:r>
      <w:r w:rsidRPr="00086D42">
        <w:rPr>
          <w:noProof/>
          <w:lang w:val="en-US"/>
        </w:rPr>
        <w:t>date is the calendar date used to identify the shareholders who are to receive dividends or other rights and upon whom the effects of the resolutions of the General Meeting of Shareholders are reflected. This date shall be set at the General Meeting of Shareholders and shall be at least 10 business days after the date of the General Meeting of Shareholders.</w:t>
      </w:r>
    </w:p>
    <w:p w14:paraId="294F3AA5" w14:textId="4AE5B0E7" w:rsidR="00EB38FD" w:rsidRPr="00086D42" w:rsidRDefault="00435B27">
      <w:pPr>
        <w:pStyle w:val="ListParagraph"/>
        <w:spacing w:after="120" w:line="240" w:lineRule="auto"/>
        <w:ind w:left="0" w:firstLine="720"/>
        <w:jc w:val="both"/>
        <w:rPr>
          <w:noProof/>
          <w:lang w:val="en-US"/>
        </w:rPr>
      </w:pPr>
      <w:r w:rsidRPr="00086D42">
        <w:rPr>
          <w:noProof/>
          <w:lang w:val="en-US"/>
        </w:rPr>
        <w:t xml:space="preserve"> In accordance with Article 2 paragraph (2) section (1) of the Regulation of the Financial Supervisory Authority no. 5/2018 on issuers of financial instruments and market operations, Ex – Date is the date prior to </w:t>
      </w:r>
      <w:r w:rsidR="003C765D" w:rsidRPr="008C4356">
        <w:rPr>
          <w:rFonts w:ascii="Calibri" w:hAnsi="Calibri" w:cs="Calibri"/>
          <w:bCs/>
        </w:rPr>
        <w:t xml:space="preserve">the </w:t>
      </w:r>
      <w:r w:rsidR="003C765D" w:rsidRPr="008C4356">
        <w:rPr>
          <w:rFonts w:ascii="Calibri" w:hAnsi="Calibri" w:cs="Calibri"/>
          <w:noProof/>
          <w:lang w:val="ro-RO"/>
        </w:rPr>
        <w:t>registration</w:t>
      </w:r>
      <w:r w:rsidR="003C765D" w:rsidRPr="008C4356">
        <w:rPr>
          <w:rFonts w:ascii="Calibri" w:hAnsi="Calibri" w:cs="Calibri"/>
          <w:bCs/>
        </w:rPr>
        <w:t xml:space="preserve"> </w:t>
      </w:r>
      <w:r w:rsidRPr="00086D42">
        <w:rPr>
          <w:noProof/>
          <w:lang w:val="en-US"/>
        </w:rPr>
        <w:t>date with one settlement cycle minus one business day, from which the financial instruments subject to the resolutions of the corporate bodies are traded without the rights arising from that resolution.</w:t>
      </w:r>
    </w:p>
    <w:p w14:paraId="0D3FD7E7" w14:textId="7E906247" w:rsidR="00EB38FD" w:rsidRPr="00086D42" w:rsidRDefault="00435B27">
      <w:pPr>
        <w:pStyle w:val="P68B1DB1-Normal5"/>
        <w:spacing w:after="120" w:line="240" w:lineRule="auto"/>
        <w:jc w:val="both"/>
        <w:rPr>
          <w:b/>
          <w:noProof/>
          <w:lang w:val="en-US"/>
        </w:rPr>
      </w:pPr>
      <w:r w:rsidRPr="00086D42">
        <w:rPr>
          <w:noProof/>
          <w:lang w:val="en-US"/>
        </w:rPr>
        <w:lastRenderedPageBreak/>
        <w:t xml:space="preserve">4. </w:t>
      </w:r>
      <w:r w:rsidRPr="00086D42">
        <w:rPr>
          <w:b/>
          <w:noProof/>
          <w:lang w:val="en-US"/>
        </w:rPr>
        <w:t>Approval of giving powers to the Chairman of the Board of Directors and the Sitting Secretary</w:t>
      </w:r>
    </w:p>
    <w:p w14:paraId="078E1339" w14:textId="489819D1" w:rsidR="00EB38FD" w:rsidRPr="00086D42" w:rsidRDefault="00435B27">
      <w:pPr>
        <w:pStyle w:val="P68B1DB1-Normal5"/>
        <w:spacing w:after="120" w:line="240" w:lineRule="auto"/>
        <w:jc w:val="both"/>
        <w:rPr>
          <w:noProof/>
          <w:lang w:val="en-US"/>
        </w:rPr>
      </w:pPr>
      <w:r w:rsidRPr="00086D42">
        <w:rPr>
          <w:noProof/>
          <w:lang w:val="en-US"/>
        </w:rPr>
        <w:t>The Chairman of the Board of Directors and the Sitting Secretary are designated to jointly sign the resolution of the Extraordinary General Meeting of Shareholders and to perform individually and not jointly any act or formality required by law for its registration with the Trade Register Office attached to Cluj Court, as well as for the publication of the resolution of the Extraordinary General Meeting of Shareholders according to the law.</w:t>
      </w:r>
    </w:p>
    <w:p w14:paraId="34C9612A" w14:textId="77777777" w:rsidR="00EB38FD" w:rsidRPr="00086D42" w:rsidRDefault="00EB38FD">
      <w:pPr>
        <w:spacing w:after="120" w:line="240" w:lineRule="auto"/>
        <w:jc w:val="both"/>
        <w:rPr>
          <w:noProof/>
          <w:lang w:val="en-US"/>
        </w:rPr>
      </w:pPr>
    </w:p>
    <w:p w14:paraId="7FDE98A9" w14:textId="211352A5" w:rsidR="00EB38FD" w:rsidRPr="00086D42" w:rsidRDefault="00EB38FD">
      <w:pPr>
        <w:spacing w:after="120"/>
        <w:jc w:val="both"/>
        <w:rPr>
          <w:rFonts w:ascii="Arial Narrow" w:eastAsia="Arial Narrow" w:hAnsi="Arial Narrow" w:cs="Arial Narrow"/>
          <w:noProof/>
          <w:color w:val="0E101A"/>
          <w:lang w:val="en-US"/>
        </w:rPr>
      </w:pPr>
    </w:p>
    <w:p w14:paraId="4BAA52E7" w14:textId="6031BE59" w:rsidR="00EB38FD" w:rsidRPr="00086D42" w:rsidRDefault="00EB38FD">
      <w:pPr>
        <w:spacing w:after="0" w:line="276" w:lineRule="auto"/>
        <w:jc w:val="both"/>
        <w:rPr>
          <w:rFonts w:cstheme="minorHAnsi"/>
          <w:noProof/>
          <w:lang w:val="en-US"/>
        </w:rPr>
      </w:pPr>
    </w:p>
    <w:p w14:paraId="7FC2689E" w14:textId="655117FF" w:rsidR="00EB38FD" w:rsidRPr="00086D42" w:rsidRDefault="00EB38FD">
      <w:pPr>
        <w:spacing w:after="0" w:line="276" w:lineRule="auto"/>
        <w:jc w:val="both"/>
        <w:rPr>
          <w:rFonts w:cstheme="minorHAnsi"/>
          <w:b/>
          <w:noProof/>
          <w:lang w:val="en-US"/>
        </w:rPr>
      </w:pPr>
    </w:p>
    <w:p w14:paraId="731270CB" w14:textId="77777777" w:rsidR="00EB38FD" w:rsidRPr="00086D42" w:rsidRDefault="00EB38FD">
      <w:pPr>
        <w:spacing w:after="0" w:line="276" w:lineRule="auto"/>
        <w:jc w:val="both"/>
        <w:rPr>
          <w:rFonts w:cstheme="minorHAnsi"/>
          <w:b/>
          <w:noProof/>
          <w:lang w:val="en-US"/>
        </w:rPr>
      </w:pPr>
    </w:p>
    <w:p w14:paraId="40914D16" w14:textId="21472461" w:rsidR="00EB38FD" w:rsidRPr="00086D42" w:rsidRDefault="00EB38FD">
      <w:pPr>
        <w:pStyle w:val="ListParagraph"/>
        <w:autoSpaceDE w:val="0"/>
        <w:autoSpaceDN w:val="0"/>
        <w:adjustRightInd w:val="0"/>
        <w:spacing w:after="0" w:line="240" w:lineRule="auto"/>
        <w:jc w:val="both"/>
        <w:rPr>
          <w:rFonts w:cstheme="minorHAnsi"/>
          <w:noProof/>
          <w:lang w:val="en-US"/>
        </w:rPr>
      </w:pPr>
    </w:p>
    <w:p w14:paraId="4E8F6A8D" w14:textId="1D60B4B5" w:rsidR="00EB38FD" w:rsidRPr="00086D42" w:rsidRDefault="00EB38FD">
      <w:pPr>
        <w:spacing w:after="120" w:line="240" w:lineRule="auto"/>
        <w:ind w:firstLine="720"/>
        <w:jc w:val="both"/>
        <w:rPr>
          <w:rFonts w:cstheme="minorHAnsi"/>
          <w:noProof/>
          <w:lang w:val="en-US"/>
        </w:rPr>
      </w:pPr>
    </w:p>
    <w:sectPr w:rsidR="00EB38FD" w:rsidRPr="00086D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AB1A" w14:textId="77777777" w:rsidR="00435B27" w:rsidRDefault="00435B27">
      <w:pPr>
        <w:spacing w:after="0" w:line="240" w:lineRule="auto"/>
      </w:pPr>
      <w:r>
        <w:separator/>
      </w:r>
    </w:p>
  </w:endnote>
  <w:endnote w:type="continuationSeparator" w:id="0">
    <w:p w14:paraId="0BE65364" w14:textId="77777777" w:rsidR="00435B27" w:rsidRDefault="0043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EB38FD" w:rsidRDefault="00EB38FD">
    <w:pPr>
      <w:pStyle w:val="Footer"/>
      <w:jc w:val="right"/>
      <w:rPr>
        <w:rFonts w:ascii="Lato" w:hAnsi="Lato" w:cs="Tahoma"/>
        <w:b/>
        <w:sz w:val="16"/>
      </w:rPr>
    </w:pPr>
  </w:p>
  <w:p w14:paraId="19CF0A0B" w14:textId="77777777" w:rsidR="00EB38FD" w:rsidRDefault="00435B27">
    <w:pPr>
      <w:pStyle w:val="P68B1DB1-Footer6"/>
      <w:pBdr>
        <w:top w:val="single" w:sz="4" w:space="9" w:color="auto"/>
      </w:pBdr>
      <w:jc w:val="center"/>
    </w:pPr>
    <w:r>
      <w:t>AROBS TRANSILVANIA SOFTWARE S.A.</w:t>
    </w:r>
  </w:p>
  <w:p w14:paraId="36C103A4" w14:textId="77777777" w:rsidR="00EB38FD" w:rsidRDefault="00435B27">
    <w:pPr>
      <w:pStyle w:val="P68B1DB1-Footer7"/>
      <w:tabs>
        <w:tab w:val="left" w:pos="693"/>
        <w:tab w:val="center" w:pos="4873"/>
      </w:tabs>
      <w:jc w:val="center"/>
    </w:pPr>
    <w:r>
      <w:t xml:space="preserve">11 Donath Street, building M4, entrance 2, 3rd floor, ap. 28, Cluj-Napoca, Cluj, Romania </w:t>
    </w:r>
  </w:p>
  <w:p w14:paraId="25B57489" w14:textId="77777777" w:rsidR="00EB38FD" w:rsidRDefault="00435B27">
    <w:pPr>
      <w:pStyle w:val="P68B1DB1-Footer8"/>
      <w:tabs>
        <w:tab w:val="left" w:pos="693"/>
        <w:tab w:val="center" w:pos="4873"/>
      </w:tabs>
      <w:jc w:val="center"/>
      <w:rPr>
        <w:rFonts w:cs="Tahoma"/>
      </w:rPr>
    </w:pPr>
    <w:r>
      <w:t>Tax Reference Number and VAT Code: RO 11291045  ●  Trade Register Number: J12/1845/1998</w:t>
    </w:r>
  </w:p>
  <w:p w14:paraId="68DC676F" w14:textId="6D86894A" w:rsidR="00EB38FD" w:rsidRDefault="00435B27">
    <w:pPr>
      <w:pStyle w:val="P68B1DB1-Footer8"/>
      <w:jc w:val="center"/>
      <w:rPr>
        <w:rFonts w:cs="Tahoma"/>
      </w:rPr>
    </w:pPr>
    <w:r>
      <w:t xml:space="preserve">Email: ir@arobs.com ●  www.arobs.com </w:t>
    </w:r>
  </w:p>
  <w:p w14:paraId="663B52A8" w14:textId="77777777" w:rsidR="00EB38FD" w:rsidRDefault="00EB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4220" w14:textId="77777777" w:rsidR="00435B27" w:rsidRDefault="00435B27">
      <w:pPr>
        <w:spacing w:after="0" w:line="240" w:lineRule="auto"/>
      </w:pPr>
      <w:r>
        <w:separator/>
      </w:r>
    </w:p>
  </w:footnote>
  <w:footnote w:type="continuationSeparator" w:id="0">
    <w:p w14:paraId="1F39D7BE" w14:textId="77777777" w:rsidR="00435B27" w:rsidRDefault="0043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EB38FD" w:rsidRDefault="00435B27">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EB38FD" w:rsidRDefault="00EB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D3"/>
    <w:multiLevelType w:val="hybridMultilevel"/>
    <w:tmpl w:val="2312AAD6"/>
    <w:lvl w:ilvl="0" w:tplc="8E8ADBE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4E7"/>
    <w:multiLevelType w:val="multilevel"/>
    <w:tmpl w:val="EFD09890"/>
    <w:lvl w:ilvl="0">
      <w:start w:val="2"/>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18397B80"/>
    <w:multiLevelType w:val="multilevel"/>
    <w:tmpl w:val="744E353E"/>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119DF"/>
    <w:multiLevelType w:val="hybridMultilevel"/>
    <w:tmpl w:val="59883012"/>
    <w:lvl w:ilvl="0" w:tplc="8E8ADBE2">
      <w:start w:val="1"/>
      <w:numFmt w:val="decimal"/>
      <w:lvlText w:val="%1."/>
      <w:lvlJc w:val="left"/>
      <w:pPr>
        <w:ind w:left="5040" w:hanging="360"/>
      </w:pPr>
      <w:rPr>
        <w:rFonts w:asciiTheme="minorHAnsi" w:hAnsiTheme="minorHAnsi" w:cstheme="minorBidi"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AB08FE"/>
    <w:multiLevelType w:val="hybridMultilevel"/>
    <w:tmpl w:val="D082CAEE"/>
    <w:lvl w:ilvl="0" w:tplc="4476DC5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24AE7"/>
    <w:multiLevelType w:val="multilevel"/>
    <w:tmpl w:val="9170F84C"/>
    <w:lvl w:ilvl="0">
      <w:numFmt w:val="bullet"/>
      <w:lvlText w:val=""/>
      <w:lvlJc w:val="left"/>
      <w:pPr>
        <w:ind w:left="144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295619A"/>
    <w:multiLevelType w:val="hybridMultilevel"/>
    <w:tmpl w:val="4FB6648C"/>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3203F"/>
    <w:multiLevelType w:val="hybridMultilevel"/>
    <w:tmpl w:val="21AC06AA"/>
    <w:lvl w:ilvl="0" w:tplc="EE42F404">
      <w:start w:val="1"/>
      <w:numFmt w:val="decimal"/>
      <w:lvlText w:val="%1."/>
      <w:lvlJc w:val="left"/>
      <w:rPr>
        <w:rFonts w:asciiTheme="minorHAnsi" w:eastAsiaTheme="minorHAnsi" w:hAnsiTheme="minorHAnsi" w:cstheme="minorHAnsi"/>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D383320"/>
    <w:multiLevelType w:val="multilevel"/>
    <w:tmpl w:val="0D8067E8"/>
    <w:lvl w:ilvl="0">
      <w:start w:val="1"/>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593707315">
    <w:abstractNumId w:val="15"/>
  </w:num>
  <w:num w:numId="2" w16cid:durableId="431976063">
    <w:abstractNumId w:val="2"/>
  </w:num>
  <w:num w:numId="3" w16cid:durableId="878131319">
    <w:abstractNumId w:val="1"/>
  </w:num>
  <w:num w:numId="4" w16cid:durableId="568347675">
    <w:abstractNumId w:val="7"/>
  </w:num>
  <w:num w:numId="5" w16cid:durableId="1564438844">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2542355">
    <w:abstractNumId w:val="5"/>
  </w:num>
  <w:num w:numId="7" w16cid:durableId="2021735363">
    <w:abstractNumId w:val="16"/>
  </w:num>
  <w:num w:numId="8" w16cid:durableId="1168597279">
    <w:abstractNumId w:val="9"/>
  </w:num>
  <w:num w:numId="9" w16cid:durableId="1956792177">
    <w:abstractNumId w:val="11"/>
  </w:num>
  <w:num w:numId="10" w16cid:durableId="427888292">
    <w:abstractNumId w:val="0"/>
  </w:num>
  <w:num w:numId="11" w16cid:durableId="494225932">
    <w:abstractNumId w:val="10"/>
  </w:num>
  <w:num w:numId="12" w16cid:durableId="921765242">
    <w:abstractNumId w:val="14"/>
  </w:num>
  <w:num w:numId="13" w16cid:durableId="1517495668">
    <w:abstractNumId w:val="13"/>
  </w:num>
  <w:num w:numId="14" w16cid:durableId="1159809397">
    <w:abstractNumId w:val="12"/>
  </w:num>
  <w:num w:numId="15" w16cid:durableId="1214846672">
    <w:abstractNumId w:val="3"/>
  </w:num>
  <w:num w:numId="16" w16cid:durableId="2011328820">
    <w:abstractNumId w:val="17"/>
  </w:num>
  <w:num w:numId="17" w16cid:durableId="1607688471">
    <w:abstractNumId w:val="4"/>
  </w:num>
  <w:num w:numId="18" w16cid:durableId="620500720">
    <w:abstractNumId w:val="8"/>
  </w:num>
  <w:num w:numId="19" w16cid:durableId="786587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4411B"/>
    <w:rsid w:val="00077AE2"/>
    <w:rsid w:val="00086D42"/>
    <w:rsid w:val="00092A2C"/>
    <w:rsid w:val="000D7431"/>
    <w:rsid w:val="000E23FC"/>
    <w:rsid w:val="00111033"/>
    <w:rsid w:val="00127A17"/>
    <w:rsid w:val="00155274"/>
    <w:rsid w:val="00180BB0"/>
    <w:rsid w:val="00193251"/>
    <w:rsid w:val="001960A0"/>
    <w:rsid w:val="001963A2"/>
    <w:rsid w:val="001C705C"/>
    <w:rsid w:val="0020225D"/>
    <w:rsid w:val="0021561A"/>
    <w:rsid w:val="002930E7"/>
    <w:rsid w:val="002A2FBD"/>
    <w:rsid w:val="002F5FE9"/>
    <w:rsid w:val="0030749C"/>
    <w:rsid w:val="00310744"/>
    <w:rsid w:val="00340E0A"/>
    <w:rsid w:val="003464E7"/>
    <w:rsid w:val="00355875"/>
    <w:rsid w:val="00365B53"/>
    <w:rsid w:val="00371C8B"/>
    <w:rsid w:val="003B15AB"/>
    <w:rsid w:val="003C765D"/>
    <w:rsid w:val="003D55BD"/>
    <w:rsid w:val="003E5C55"/>
    <w:rsid w:val="003F354B"/>
    <w:rsid w:val="00407001"/>
    <w:rsid w:val="00422120"/>
    <w:rsid w:val="00435B27"/>
    <w:rsid w:val="0044114B"/>
    <w:rsid w:val="00452FBD"/>
    <w:rsid w:val="00490A03"/>
    <w:rsid w:val="004B1C60"/>
    <w:rsid w:val="004C0856"/>
    <w:rsid w:val="004C55AE"/>
    <w:rsid w:val="004C7A9C"/>
    <w:rsid w:val="004E2185"/>
    <w:rsid w:val="00501CE6"/>
    <w:rsid w:val="005112DC"/>
    <w:rsid w:val="00516EE3"/>
    <w:rsid w:val="00547A75"/>
    <w:rsid w:val="00551BA0"/>
    <w:rsid w:val="005714CA"/>
    <w:rsid w:val="00571608"/>
    <w:rsid w:val="00572BE3"/>
    <w:rsid w:val="00572FC4"/>
    <w:rsid w:val="0059599E"/>
    <w:rsid w:val="005B18F4"/>
    <w:rsid w:val="005B3EED"/>
    <w:rsid w:val="005B52C1"/>
    <w:rsid w:val="005B6A37"/>
    <w:rsid w:val="005B6B46"/>
    <w:rsid w:val="005B78E5"/>
    <w:rsid w:val="005B7A4A"/>
    <w:rsid w:val="005C52FE"/>
    <w:rsid w:val="005F6DFE"/>
    <w:rsid w:val="006004FA"/>
    <w:rsid w:val="00611121"/>
    <w:rsid w:val="00616D29"/>
    <w:rsid w:val="00622FAE"/>
    <w:rsid w:val="00626477"/>
    <w:rsid w:val="00643693"/>
    <w:rsid w:val="006A097B"/>
    <w:rsid w:val="006A19DA"/>
    <w:rsid w:val="006B288D"/>
    <w:rsid w:val="006E1479"/>
    <w:rsid w:val="007219BC"/>
    <w:rsid w:val="00725833"/>
    <w:rsid w:val="00745116"/>
    <w:rsid w:val="00796DE1"/>
    <w:rsid w:val="007A5428"/>
    <w:rsid w:val="007E6051"/>
    <w:rsid w:val="00816EA5"/>
    <w:rsid w:val="00835972"/>
    <w:rsid w:val="008542B3"/>
    <w:rsid w:val="008619A0"/>
    <w:rsid w:val="00865718"/>
    <w:rsid w:val="00871B1C"/>
    <w:rsid w:val="00874237"/>
    <w:rsid w:val="008905E9"/>
    <w:rsid w:val="008D699C"/>
    <w:rsid w:val="0090071A"/>
    <w:rsid w:val="009052A8"/>
    <w:rsid w:val="00917A70"/>
    <w:rsid w:val="009546B0"/>
    <w:rsid w:val="00963AE5"/>
    <w:rsid w:val="009957E2"/>
    <w:rsid w:val="009A3333"/>
    <w:rsid w:val="009C5BD8"/>
    <w:rsid w:val="009E622F"/>
    <w:rsid w:val="009F651D"/>
    <w:rsid w:val="00A11C26"/>
    <w:rsid w:val="00A16F5A"/>
    <w:rsid w:val="00A67E58"/>
    <w:rsid w:val="00A73FE7"/>
    <w:rsid w:val="00AB3499"/>
    <w:rsid w:val="00AC089D"/>
    <w:rsid w:val="00AC1494"/>
    <w:rsid w:val="00AC5747"/>
    <w:rsid w:val="00AC7747"/>
    <w:rsid w:val="00B33682"/>
    <w:rsid w:val="00B51C73"/>
    <w:rsid w:val="00B836B5"/>
    <w:rsid w:val="00B901AE"/>
    <w:rsid w:val="00BA364E"/>
    <w:rsid w:val="00BA79A8"/>
    <w:rsid w:val="00BB2AC2"/>
    <w:rsid w:val="00BB58C8"/>
    <w:rsid w:val="00BD0F38"/>
    <w:rsid w:val="00BD7A6C"/>
    <w:rsid w:val="00C265A5"/>
    <w:rsid w:val="00C317C1"/>
    <w:rsid w:val="00C34035"/>
    <w:rsid w:val="00C63E20"/>
    <w:rsid w:val="00C65B07"/>
    <w:rsid w:val="00C665D1"/>
    <w:rsid w:val="00C717C8"/>
    <w:rsid w:val="00C8173C"/>
    <w:rsid w:val="00C9389C"/>
    <w:rsid w:val="00CF5E42"/>
    <w:rsid w:val="00CF6B8D"/>
    <w:rsid w:val="00CF78CD"/>
    <w:rsid w:val="00D25FEF"/>
    <w:rsid w:val="00D26429"/>
    <w:rsid w:val="00DB513A"/>
    <w:rsid w:val="00DB74AB"/>
    <w:rsid w:val="00DD1B52"/>
    <w:rsid w:val="00DF495B"/>
    <w:rsid w:val="00E1056E"/>
    <w:rsid w:val="00E16DB7"/>
    <w:rsid w:val="00E22729"/>
    <w:rsid w:val="00E965BC"/>
    <w:rsid w:val="00EB38FD"/>
    <w:rsid w:val="00EE311C"/>
    <w:rsid w:val="00EF3E1B"/>
    <w:rsid w:val="00F12AC1"/>
    <w:rsid w:val="00F16C5F"/>
    <w:rsid w:val="00F36281"/>
    <w:rsid w:val="00F52C9F"/>
    <w:rsid w:val="00FA52FF"/>
    <w:rsid w:val="00FA7AAB"/>
    <w:rsid w:val="00FC3A2C"/>
    <w:rsid w:val="00FD49D7"/>
    <w:rsid w:val="00FD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317C1"/>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customStyle="1" w:styleId="Heading2Char">
    <w:name w:val="Heading 2 Char"/>
    <w:basedOn w:val="DefaultParagraphFont"/>
    <w:link w:val="Heading2"/>
    <w:rsid w:val="00C317C1"/>
    <w:rPr>
      <w:rFonts w:ascii="Times New Roman Bold" w:eastAsia="Times New Roman" w:hAnsi="Times New Roman Bold" w:cs="Times New Roman"/>
      <w:b/>
    </w:rPr>
  </w:style>
  <w:style w:type="table" w:styleId="TableGrid">
    <w:name w:val="Table Grid"/>
    <w:basedOn w:val="TableNormal"/>
    <w:uiPriority w:val="39"/>
    <w:rsid w:val="00C3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1C"/>
    <w:rPr>
      <w:color w:val="0563C1" w:themeColor="hyperlink"/>
      <w:u w:val="single"/>
    </w:rPr>
  </w:style>
  <w:style w:type="character" w:styleId="UnresolvedMention">
    <w:name w:val="Unresolved Mention"/>
    <w:basedOn w:val="DefaultParagraphFont"/>
    <w:uiPriority w:val="99"/>
    <w:semiHidden/>
    <w:unhideWhenUsed/>
    <w:rsid w:val="00871B1C"/>
    <w:rPr>
      <w:color w:val="605E5C"/>
      <w:shd w:val="clear" w:color="auto" w:fill="E1DFDD"/>
    </w:rPr>
  </w:style>
  <w:style w:type="paragraph" w:customStyle="1" w:styleId="AOGenNum2">
    <w:name w:val="AOGenNum2"/>
    <w:basedOn w:val="Normal"/>
    <w:next w:val="Normal"/>
    <w:rsid w:val="009F651D"/>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9F651D"/>
    <w:pPr>
      <w:numPr>
        <w:numId w:val="19"/>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cstheme="minorHAnsi"/>
      <w:b/>
    </w:rPr>
  </w:style>
  <w:style w:type="paragraph" w:customStyle="1" w:styleId="P68B1DB1-Normal2">
    <w:name w:val="P68B1DB1-Normal2"/>
    <w:basedOn w:val="Normal"/>
    <w:rPr>
      <w:rFonts w:ascii="Calibri" w:eastAsia="Arial Narrow" w:hAnsi="Calibri" w:cs="Calibri"/>
      <w:color w:val="0E101A"/>
    </w:rPr>
  </w:style>
  <w:style w:type="paragraph" w:customStyle="1" w:styleId="P68B1DB1-Normal3">
    <w:name w:val="P68B1DB1-Normal3"/>
    <w:basedOn w:val="Normal"/>
    <w:rPr>
      <w:rFonts w:eastAsia="Arial Narrow" w:cstheme="minorHAnsi"/>
      <w:color w:val="0E101A"/>
    </w:rPr>
  </w:style>
  <w:style w:type="paragraph" w:customStyle="1" w:styleId="P68B1DB1-ListParagraph4">
    <w:name w:val="P68B1DB1-ListParagraph4"/>
    <w:basedOn w:val="ListParagraph"/>
    <w:rPr>
      <w:sz w:val="24"/>
    </w:rPr>
  </w:style>
  <w:style w:type="paragraph" w:customStyle="1" w:styleId="P68B1DB1-Normal5">
    <w:name w:val="P68B1DB1-Normal5"/>
    <w:basedOn w:val="Normal"/>
    <w:rPr>
      <w:rFonts w:cstheme="minorHAnsi"/>
    </w:rPr>
  </w:style>
  <w:style w:type="paragraph" w:customStyle="1" w:styleId="P68B1DB1-Footer6">
    <w:name w:val="P68B1DB1-Footer6"/>
    <w:basedOn w:val="Footer"/>
    <w:rPr>
      <w:rFonts w:ascii="Lato" w:hAnsi="Lato" w:cs="Tahoma"/>
      <w:b/>
      <w:color w:val="000000"/>
      <w:sz w:val="16"/>
    </w:rPr>
  </w:style>
  <w:style w:type="paragraph" w:customStyle="1" w:styleId="P68B1DB1-Footer7">
    <w:name w:val="P68B1DB1-Footer7"/>
    <w:basedOn w:val="Footer"/>
    <w:rPr>
      <w:rFonts w:ascii="Lato" w:hAnsi="Lato" w:cs="Tahoma"/>
      <w:color w:val="595959"/>
      <w:sz w:val="16"/>
    </w:rPr>
  </w:style>
  <w:style w:type="paragraph" w:customStyle="1" w:styleId="P68B1DB1-Footer8">
    <w:name w:val="P68B1DB1-Footer8"/>
    <w:basedOn w:val="Footer"/>
    <w:rPr>
      <w:rFonts w:ascii="Lato" w:hAnsi="Lato"/>
      <w:color w:val="59595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Gloria Haas</cp:lastModifiedBy>
  <cp:revision>32</cp:revision>
  <dcterms:created xsi:type="dcterms:W3CDTF">2022-02-04T13:26:00Z</dcterms:created>
  <dcterms:modified xsi:type="dcterms:W3CDTF">2022-05-05T14:53:00Z</dcterms:modified>
</cp:coreProperties>
</file>