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29C3" w14:textId="241ABC84" w:rsidR="00EB38FD" w:rsidRPr="00086D42" w:rsidRDefault="00435B27">
      <w:pPr>
        <w:pStyle w:val="P68B1DB1-Normal1"/>
        <w:spacing w:after="120" w:line="240" w:lineRule="auto"/>
        <w:jc w:val="center"/>
        <w:rPr>
          <w:noProof/>
        </w:rPr>
      </w:pPr>
      <w:r w:rsidRPr="00086D42">
        <w:rPr>
          <w:noProof/>
        </w:rPr>
        <w:t xml:space="preserve">Information notes on the items on the agenda of the Extraordinary General Meeting of Shareholders scheduled for </w:t>
      </w:r>
      <w:r w:rsidR="009565A1">
        <w:rPr>
          <w:noProof/>
        </w:rPr>
        <w:t>August 1</w:t>
      </w:r>
      <w:r w:rsidR="004233E1">
        <w:rPr>
          <w:noProof/>
        </w:rPr>
        <w:t>, 2022</w:t>
      </w:r>
      <w:r w:rsidRPr="00086D42">
        <w:rPr>
          <w:noProof/>
        </w:rPr>
        <w:t xml:space="preserve"> / </w:t>
      </w:r>
      <w:r w:rsidR="004233E1">
        <w:rPr>
          <w:noProof/>
        </w:rPr>
        <w:t>August</w:t>
      </w:r>
      <w:r w:rsidRPr="00086D42">
        <w:rPr>
          <w:noProof/>
        </w:rPr>
        <w:t xml:space="preserve"> 2, 2022</w:t>
      </w:r>
    </w:p>
    <w:p w14:paraId="4FF8B6C8" w14:textId="77777777" w:rsidR="00EB38FD" w:rsidRPr="00086D42" w:rsidRDefault="00EB38FD">
      <w:pPr>
        <w:spacing w:after="0" w:line="276" w:lineRule="auto"/>
        <w:jc w:val="both"/>
        <w:rPr>
          <w:rFonts w:cstheme="minorHAnsi"/>
          <w:b/>
          <w:noProof/>
        </w:rPr>
      </w:pPr>
    </w:p>
    <w:p w14:paraId="06039AE2" w14:textId="77777777" w:rsidR="00EB38FD" w:rsidRPr="00086D42" w:rsidRDefault="00EB38FD">
      <w:pPr>
        <w:spacing w:after="0" w:line="276" w:lineRule="auto"/>
        <w:jc w:val="both"/>
        <w:rPr>
          <w:rFonts w:cstheme="minorHAnsi"/>
          <w:b/>
          <w:noProof/>
        </w:rPr>
      </w:pPr>
    </w:p>
    <w:p w14:paraId="487B0C35" w14:textId="77777777" w:rsidR="009565A1" w:rsidRPr="009565A1" w:rsidRDefault="009565A1" w:rsidP="009565A1">
      <w:pPr>
        <w:pStyle w:val="ListParagraph"/>
        <w:spacing w:after="120" w:line="240" w:lineRule="auto"/>
        <w:ind w:left="0"/>
        <w:jc w:val="both"/>
        <w:rPr>
          <w:b/>
          <w:bCs/>
          <w:noProof/>
          <w:sz w:val="24"/>
        </w:rPr>
      </w:pPr>
      <w:r w:rsidRPr="009565A1">
        <w:rPr>
          <w:b/>
          <w:bCs/>
          <w:noProof/>
          <w:sz w:val="24"/>
        </w:rPr>
        <w:t>Point 1-4</w:t>
      </w:r>
    </w:p>
    <w:p w14:paraId="33901F00" w14:textId="77777777" w:rsidR="009565A1" w:rsidRPr="009565A1" w:rsidRDefault="009565A1" w:rsidP="009565A1">
      <w:pPr>
        <w:pStyle w:val="ListParagraph"/>
        <w:spacing w:after="120" w:line="240" w:lineRule="auto"/>
        <w:ind w:left="0"/>
        <w:jc w:val="both"/>
        <w:rPr>
          <w:noProof/>
          <w:sz w:val="24"/>
        </w:rPr>
      </w:pPr>
      <w:r w:rsidRPr="009565A1">
        <w:rPr>
          <w:noProof/>
          <w:sz w:val="24"/>
        </w:rPr>
        <w:t>The duties mentioned to be delegated by the General Meeting of Shareholders to the Board of Directors, in accordance with the provisions of Article 114 of Law 31/1990 republished, are current operations at the company level. Thus, the delegation of tasks is aimed at ensuring efficiency and speed in the implementation of business decisions. In the most competitive fields, such as IT, market opportunities must be exploited through quick decisions, followed immediately by their implementation.</w:t>
      </w:r>
    </w:p>
    <w:p w14:paraId="3B02235C" w14:textId="77777777" w:rsidR="009565A1" w:rsidRPr="009565A1" w:rsidRDefault="009565A1" w:rsidP="009565A1">
      <w:pPr>
        <w:pStyle w:val="ListParagraph"/>
        <w:spacing w:after="120" w:line="240" w:lineRule="auto"/>
        <w:ind w:left="0"/>
        <w:jc w:val="both"/>
        <w:rPr>
          <w:noProof/>
          <w:sz w:val="24"/>
        </w:rPr>
      </w:pPr>
    </w:p>
    <w:p w14:paraId="5C134A86" w14:textId="20DCDC61" w:rsidR="009565A1" w:rsidRPr="009565A1" w:rsidRDefault="009565A1" w:rsidP="009565A1">
      <w:pPr>
        <w:pStyle w:val="ListParagraph"/>
        <w:spacing w:after="120" w:line="240" w:lineRule="auto"/>
        <w:ind w:left="0"/>
        <w:jc w:val="both"/>
        <w:rPr>
          <w:b/>
          <w:bCs/>
          <w:noProof/>
          <w:sz w:val="24"/>
        </w:rPr>
      </w:pPr>
      <w:r w:rsidRPr="009565A1">
        <w:rPr>
          <w:b/>
          <w:bCs/>
          <w:noProof/>
          <w:sz w:val="24"/>
        </w:rPr>
        <w:t>Point 5-</w:t>
      </w:r>
      <w:r w:rsidR="00A808D9">
        <w:rPr>
          <w:b/>
          <w:bCs/>
          <w:noProof/>
          <w:sz w:val="24"/>
        </w:rPr>
        <w:t>7</w:t>
      </w:r>
    </w:p>
    <w:p w14:paraId="6B1EE92B" w14:textId="77777777" w:rsidR="009565A1" w:rsidRPr="009565A1" w:rsidRDefault="009565A1" w:rsidP="009565A1">
      <w:pPr>
        <w:pStyle w:val="ListParagraph"/>
        <w:spacing w:after="120" w:line="240" w:lineRule="auto"/>
        <w:ind w:left="0"/>
        <w:jc w:val="both"/>
        <w:rPr>
          <w:noProof/>
          <w:sz w:val="24"/>
        </w:rPr>
      </w:pPr>
      <w:r w:rsidRPr="009565A1">
        <w:rPr>
          <w:noProof/>
          <w:sz w:val="24"/>
        </w:rPr>
        <w:t>To authorize the Board of Directors to continue the implementation of the stock option plan for the employees of affiliated companies, which reflects one of the strategic directions of the company, defined as the strategy of motivating and retaining employees by adopting options for the co-interest of employees in the company's success through the financial mechanism of the stock option plan.</w:t>
      </w:r>
    </w:p>
    <w:p w14:paraId="1BE40571" w14:textId="77777777" w:rsidR="009565A1" w:rsidRPr="009565A1" w:rsidRDefault="009565A1" w:rsidP="009565A1">
      <w:pPr>
        <w:pStyle w:val="ListParagraph"/>
        <w:spacing w:after="120" w:line="240" w:lineRule="auto"/>
        <w:ind w:left="0"/>
        <w:jc w:val="both"/>
        <w:rPr>
          <w:noProof/>
          <w:sz w:val="24"/>
        </w:rPr>
      </w:pPr>
      <w:r w:rsidRPr="009565A1">
        <w:rPr>
          <w:noProof/>
          <w:sz w:val="24"/>
        </w:rPr>
        <w:t xml:space="preserve">It is a common practice in technology companies in Western Europe and America, so the company aligns itself with practices still new in Romania, reinforcing once again the AROBS slogan: European by Birth, International by Culture. </w:t>
      </w:r>
    </w:p>
    <w:p w14:paraId="15B18C68" w14:textId="77777777" w:rsidR="009565A1" w:rsidRPr="009565A1" w:rsidRDefault="009565A1" w:rsidP="009565A1">
      <w:pPr>
        <w:pStyle w:val="ListParagraph"/>
        <w:spacing w:after="120" w:line="240" w:lineRule="auto"/>
        <w:jc w:val="both"/>
        <w:rPr>
          <w:noProof/>
          <w:sz w:val="24"/>
        </w:rPr>
      </w:pPr>
    </w:p>
    <w:p w14:paraId="03F8E1FB" w14:textId="016A67E5" w:rsidR="00FF5E0F" w:rsidRPr="006F2780" w:rsidRDefault="00FF5E0F" w:rsidP="00FF5E0F">
      <w:pPr>
        <w:pStyle w:val="ListParagraph"/>
        <w:spacing w:after="120" w:line="240" w:lineRule="auto"/>
        <w:ind w:left="0"/>
        <w:jc w:val="both"/>
        <w:rPr>
          <w:b/>
          <w:bCs/>
          <w:noProof/>
        </w:rPr>
      </w:pPr>
      <w:r w:rsidRPr="006F2780">
        <w:rPr>
          <w:b/>
          <w:bCs/>
          <w:noProof/>
        </w:rPr>
        <w:t xml:space="preserve">Point </w:t>
      </w:r>
      <w:r w:rsidR="00A808D9">
        <w:rPr>
          <w:b/>
          <w:bCs/>
          <w:noProof/>
        </w:rPr>
        <w:t>8</w:t>
      </w:r>
    </w:p>
    <w:p w14:paraId="5DD4CD88" w14:textId="5D6202A0" w:rsidR="00EB38FD" w:rsidRPr="00086D42" w:rsidRDefault="00435B27" w:rsidP="003D7108">
      <w:pPr>
        <w:pStyle w:val="ListParagraph"/>
        <w:spacing w:after="120" w:line="240" w:lineRule="auto"/>
        <w:ind w:left="0"/>
        <w:jc w:val="both"/>
        <w:rPr>
          <w:noProof/>
        </w:rPr>
      </w:pPr>
      <w:r w:rsidRPr="00086D42">
        <w:rPr>
          <w:noProof/>
        </w:rPr>
        <w:t xml:space="preserve">In accordance with Article 86 paragraph (1) of the Law 24/2017 on issuers of financial instruments and market operations, </w:t>
      </w:r>
      <w:r w:rsidR="00551BA0" w:rsidRPr="008C4356">
        <w:rPr>
          <w:rFonts w:ascii="Calibri" w:hAnsi="Calibri" w:cs="Calibri"/>
          <w:bCs/>
        </w:rPr>
        <w:t xml:space="preserve">the </w:t>
      </w:r>
      <w:r w:rsidR="00551BA0" w:rsidRPr="008C4356">
        <w:rPr>
          <w:rFonts w:ascii="Calibri" w:hAnsi="Calibri" w:cs="Calibri"/>
          <w:noProof/>
          <w:lang w:val="ro-RO"/>
        </w:rPr>
        <w:t>registration</w:t>
      </w:r>
      <w:r w:rsidR="00551BA0" w:rsidRPr="008C4356">
        <w:rPr>
          <w:rFonts w:ascii="Calibri" w:hAnsi="Calibri" w:cs="Calibri"/>
          <w:bCs/>
        </w:rPr>
        <w:t xml:space="preserve"> </w:t>
      </w:r>
      <w:r w:rsidRPr="00086D42">
        <w:rPr>
          <w:noProof/>
        </w:rPr>
        <w:t>date is the calendar date used to identify the shareholders who are to receive dividends or other rights and upon whom the effects of the resolutions of the General Meeting of Shareholders are reflected. This date shall be set at the General Meeting of Shareholders and shall be at least 10 business days after the date of the General Meeting of Shareholders.</w:t>
      </w:r>
    </w:p>
    <w:p w14:paraId="294F3AA5" w14:textId="2320F30D" w:rsidR="00EB38FD" w:rsidRDefault="00435B27" w:rsidP="003D7108">
      <w:pPr>
        <w:pStyle w:val="ListParagraph"/>
        <w:spacing w:after="120" w:line="240" w:lineRule="auto"/>
        <w:ind w:left="0"/>
        <w:jc w:val="both"/>
        <w:rPr>
          <w:noProof/>
        </w:rPr>
      </w:pPr>
      <w:r w:rsidRPr="00086D42">
        <w:rPr>
          <w:noProof/>
        </w:rPr>
        <w:t xml:space="preserve"> In accordance with Article 2 paragraph (2) section (1) of the Regulation of the Financial Supervisory Authority no. 5/2018 on issuers of financial instruments and market operations, Ex – Date is the date prior to </w:t>
      </w:r>
      <w:r w:rsidR="003C765D" w:rsidRPr="008C4356">
        <w:rPr>
          <w:rFonts w:ascii="Calibri" w:hAnsi="Calibri" w:cs="Calibri"/>
          <w:bCs/>
        </w:rPr>
        <w:t xml:space="preserve">the </w:t>
      </w:r>
      <w:r w:rsidR="003C765D" w:rsidRPr="008C4356">
        <w:rPr>
          <w:rFonts w:ascii="Calibri" w:hAnsi="Calibri" w:cs="Calibri"/>
          <w:noProof/>
          <w:lang w:val="ro-RO"/>
        </w:rPr>
        <w:t>registration</w:t>
      </w:r>
      <w:r w:rsidR="003C765D" w:rsidRPr="008C4356">
        <w:rPr>
          <w:rFonts w:ascii="Calibri" w:hAnsi="Calibri" w:cs="Calibri"/>
          <w:bCs/>
        </w:rPr>
        <w:t xml:space="preserve"> </w:t>
      </w:r>
      <w:r w:rsidRPr="00086D42">
        <w:rPr>
          <w:noProof/>
        </w:rPr>
        <w:t>date with one settlement cycle minus one business day, from which the financial instruments subject to the resolutions of the corporate bodies are traded without the rights arising from that resolution.</w:t>
      </w:r>
    </w:p>
    <w:p w14:paraId="215D7380" w14:textId="788E4E9F" w:rsidR="00550CE3" w:rsidRPr="00550CE3" w:rsidRDefault="00550CE3" w:rsidP="00550CE3">
      <w:pPr>
        <w:pStyle w:val="P68B1DB1-Normal5"/>
        <w:spacing w:after="120" w:line="240" w:lineRule="auto"/>
        <w:jc w:val="both"/>
        <w:rPr>
          <w:b/>
          <w:bCs/>
          <w:noProof/>
        </w:rPr>
      </w:pPr>
      <w:r w:rsidRPr="00550CE3">
        <w:rPr>
          <w:b/>
          <w:bCs/>
          <w:noProof/>
        </w:rPr>
        <w:t xml:space="preserve">Point </w:t>
      </w:r>
      <w:r w:rsidR="00A808D9">
        <w:rPr>
          <w:b/>
          <w:bCs/>
          <w:noProof/>
        </w:rPr>
        <w:t>9</w:t>
      </w:r>
    </w:p>
    <w:p w14:paraId="7FC2689E" w14:textId="18406E95" w:rsidR="00EB38FD" w:rsidRPr="00D9176F" w:rsidRDefault="00435B27" w:rsidP="00D9176F">
      <w:pPr>
        <w:pStyle w:val="P68B1DB1-Normal5"/>
        <w:spacing w:after="120" w:line="240" w:lineRule="auto"/>
        <w:jc w:val="both"/>
        <w:rPr>
          <w:noProof/>
        </w:rPr>
      </w:pPr>
      <w:r w:rsidRPr="00086D42">
        <w:rPr>
          <w:noProof/>
        </w:rPr>
        <w:t>The Chairman of the Board of Directors and the Sitting Secretary are designated to jointly sign the resolution of the Extraordinary General Meeting of Shareholders and to perform individually and not jointly any act or formality required by law for its registration with the Trade Register Office attached to Cluj Court, as well as for the publication of the resolution of the Extraordinary General Meeting of Shareholders according to the law</w:t>
      </w:r>
      <w:r w:rsidR="00D9176F">
        <w:rPr>
          <w:noProof/>
        </w:rPr>
        <w:t>.</w:t>
      </w:r>
    </w:p>
    <w:p w14:paraId="731270CB" w14:textId="77777777" w:rsidR="00EB38FD" w:rsidRPr="00086D42" w:rsidRDefault="00EB38FD">
      <w:pPr>
        <w:spacing w:after="0" w:line="276" w:lineRule="auto"/>
        <w:jc w:val="both"/>
        <w:rPr>
          <w:rFonts w:cstheme="minorHAnsi"/>
          <w:b/>
          <w:noProof/>
        </w:rPr>
      </w:pPr>
    </w:p>
    <w:sectPr w:rsidR="00EB38FD" w:rsidRPr="00086D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AB1A" w14:textId="77777777" w:rsidR="00435B27" w:rsidRDefault="00435B27">
      <w:pPr>
        <w:spacing w:after="0" w:line="240" w:lineRule="auto"/>
      </w:pPr>
      <w:r>
        <w:separator/>
      </w:r>
    </w:p>
  </w:endnote>
  <w:endnote w:type="continuationSeparator" w:id="0">
    <w:p w14:paraId="0BE65364" w14:textId="77777777" w:rsidR="00435B27" w:rsidRDefault="0043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350" w14:textId="0A39900B" w:rsidR="00EB38FD" w:rsidRDefault="00EB38FD">
    <w:pPr>
      <w:pStyle w:val="Footer"/>
      <w:jc w:val="right"/>
      <w:rPr>
        <w:rFonts w:ascii="Lato" w:hAnsi="Lato" w:cs="Tahoma"/>
        <w:b/>
        <w:sz w:val="16"/>
      </w:rPr>
    </w:pPr>
  </w:p>
  <w:p w14:paraId="19CF0A0B" w14:textId="77777777" w:rsidR="00EB38FD" w:rsidRDefault="00435B27">
    <w:pPr>
      <w:pStyle w:val="P68B1DB1-Footer6"/>
      <w:pBdr>
        <w:top w:val="single" w:sz="4" w:space="9" w:color="auto"/>
      </w:pBdr>
      <w:jc w:val="center"/>
    </w:pPr>
    <w:r>
      <w:t>AROBS TRANSILVANIA SOFTWARE S.A.</w:t>
    </w:r>
  </w:p>
  <w:p w14:paraId="36C103A4" w14:textId="77777777" w:rsidR="00EB38FD" w:rsidRDefault="00435B27">
    <w:pPr>
      <w:pStyle w:val="P68B1DB1-Footer7"/>
      <w:tabs>
        <w:tab w:val="left" w:pos="693"/>
        <w:tab w:val="center" w:pos="4873"/>
      </w:tabs>
      <w:jc w:val="center"/>
    </w:pPr>
    <w:r>
      <w:t xml:space="preserve">11 Donath Street, building M4, entrance 2, 3rd floor, ap. 28, Cluj-Napoca, Cluj, Romania </w:t>
    </w:r>
  </w:p>
  <w:p w14:paraId="25B57489" w14:textId="77777777" w:rsidR="00EB38FD" w:rsidRDefault="00435B27">
    <w:pPr>
      <w:pStyle w:val="P68B1DB1-Footer8"/>
      <w:tabs>
        <w:tab w:val="left" w:pos="693"/>
        <w:tab w:val="center" w:pos="4873"/>
      </w:tabs>
      <w:jc w:val="center"/>
      <w:rPr>
        <w:rFonts w:cs="Tahoma"/>
      </w:rPr>
    </w:pPr>
    <w:r>
      <w:t>Tax Reference Number and VAT Code: RO 11291045  ●  Trade Register Number: J12/1845/1998</w:t>
    </w:r>
  </w:p>
  <w:p w14:paraId="68DC676F" w14:textId="6D86894A" w:rsidR="00EB38FD" w:rsidRDefault="00435B27">
    <w:pPr>
      <w:pStyle w:val="P68B1DB1-Footer8"/>
      <w:jc w:val="center"/>
      <w:rPr>
        <w:rFonts w:cs="Tahoma"/>
      </w:rPr>
    </w:pPr>
    <w:r>
      <w:t xml:space="preserve">Email: ir@arobs.com ●  www.arobs.com </w:t>
    </w:r>
  </w:p>
  <w:p w14:paraId="663B52A8" w14:textId="77777777" w:rsidR="00EB38FD" w:rsidRDefault="00EB3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4220" w14:textId="77777777" w:rsidR="00435B27" w:rsidRDefault="00435B27">
      <w:pPr>
        <w:spacing w:after="0" w:line="240" w:lineRule="auto"/>
      </w:pPr>
      <w:r>
        <w:separator/>
      </w:r>
    </w:p>
  </w:footnote>
  <w:footnote w:type="continuationSeparator" w:id="0">
    <w:p w14:paraId="1F39D7BE" w14:textId="77777777" w:rsidR="00435B27" w:rsidRDefault="00435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2EB0" w14:textId="4715AAE8" w:rsidR="00EB38FD" w:rsidRDefault="00435B27">
    <w:pPr>
      <w:pStyle w:val="Header"/>
      <w:jc w:val="right"/>
    </w:pPr>
    <w:r>
      <w:rPr>
        <w:noProof/>
      </w:rPr>
      <w:drawing>
        <wp:inline distT="0" distB="0" distL="0" distR="0" wp14:anchorId="685D3EDC" wp14:editId="5C417582">
          <wp:extent cx="2317115" cy="614045"/>
          <wp:effectExtent l="0" t="0" r="6985" b="0"/>
          <wp:docPr id="1" name="Picture 1" descr="AROBS Transilvania Software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OBS Transilvania Software developme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614045"/>
                  </a:xfrm>
                  <a:prstGeom prst="rect">
                    <a:avLst/>
                  </a:prstGeom>
                  <a:noFill/>
                  <a:ln>
                    <a:noFill/>
                  </a:ln>
                </pic:spPr>
              </pic:pic>
            </a:graphicData>
          </a:graphic>
        </wp:inline>
      </w:drawing>
    </w:r>
  </w:p>
  <w:p w14:paraId="678C1EF3" w14:textId="77777777" w:rsidR="00EB38FD" w:rsidRDefault="00EB3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8D3"/>
    <w:multiLevelType w:val="hybridMultilevel"/>
    <w:tmpl w:val="2312AAD6"/>
    <w:lvl w:ilvl="0" w:tplc="8E8ADBE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992"/>
    <w:multiLevelType w:val="hybridMultilevel"/>
    <w:tmpl w:val="8D9039E0"/>
    <w:lvl w:ilvl="0" w:tplc="100E5482">
      <w:start w:val="7"/>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17A58"/>
    <w:multiLevelType w:val="hybridMultilevel"/>
    <w:tmpl w:val="39664BB8"/>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4E7"/>
    <w:multiLevelType w:val="multilevel"/>
    <w:tmpl w:val="EFD09890"/>
    <w:lvl w:ilvl="0">
      <w:start w:val="2"/>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8397B80"/>
    <w:multiLevelType w:val="multilevel"/>
    <w:tmpl w:val="744E353E"/>
    <w:lvl w:ilvl="0">
      <w:numFmt w:val="bullet"/>
      <w:lvlText w:val=""/>
      <w:lvlJc w:val="left"/>
      <w:pPr>
        <w:ind w:left="1440" w:hanging="360"/>
      </w:pPr>
      <w:rPr>
        <w:rFonts w:ascii="Symbol" w:eastAsia="Calibri"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7" w15:restartNumberingAfterBreak="0">
    <w:nsid w:val="41005223"/>
    <w:multiLevelType w:val="hybridMultilevel"/>
    <w:tmpl w:val="0F18810C"/>
    <w:lvl w:ilvl="0" w:tplc="FF3436FE">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C119DF"/>
    <w:multiLevelType w:val="hybridMultilevel"/>
    <w:tmpl w:val="59883012"/>
    <w:lvl w:ilvl="0" w:tplc="8E8ADBE2">
      <w:start w:val="1"/>
      <w:numFmt w:val="decimal"/>
      <w:lvlText w:val="%1."/>
      <w:lvlJc w:val="left"/>
      <w:pPr>
        <w:ind w:left="5040" w:hanging="360"/>
      </w:pPr>
      <w:rPr>
        <w:rFonts w:asciiTheme="minorHAnsi" w:hAnsiTheme="minorHAnsi" w:cstheme="minorBidi"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AB08FE"/>
    <w:multiLevelType w:val="hybridMultilevel"/>
    <w:tmpl w:val="D082CAEE"/>
    <w:lvl w:ilvl="0" w:tplc="4476DC5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24AE7"/>
    <w:multiLevelType w:val="multilevel"/>
    <w:tmpl w:val="9170F84C"/>
    <w:lvl w:ilvl="0">
      <w:numFmt w:val="bullet"/>
      <w:lvlText w:val=""/>
      <w:lvlJc w:val="left"/>
      <w:pPr>
        <w:ind w:left="1440" w:hanging="360"/>
      </w:pPr>
      <w:rPr>
        <w:rFonts w:ascii="Symbol" w:eastAsia="Calibri" w:hAnsi="Symbol"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295619A"/>
    <w:multiLevelType w:val="hybridMultilevel"/>
    <w:tmpl w:val="4FB6648C"/>
    <w:lvl w:ilvl="0" w:tplc="11F8C41E">
      <w:start w:val="7"/>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3203F"/>
    <w:multiLevelType w:val="hybridMultilevel"/>
    <w:tmpl w:val="21AC06AA"/>
    <w:lvl w:ilvl="0" w:tplc="EE42F404">
      <w:start w:val="1"/>
      <w:numFmt w:val="decimal"/>
      <w:lvlText w:val="%1."/>
      <w:lvlJc w:val="left"/>
      <w:rPr>
        <w:rFonts w:asciiTheme="minorHAnsi" w:eastAsiaTheme="minorHAnsi" w:hAnsiTheme="minorHAnsi" w:cstheme="minorHAnsi"/>
        <w:b/>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D383320"/>
    <w:multiLevelType w:val="multilevel"/>
    <w:tmpl w:val="0D8067E8"/>
    <w:lvl w:ilvl="0">
      <w:start w:val="1"/>
      <w:numFmt w:val="upperLetter"/>
      <w:lvlText w:val="%1."/>
      <w:lvlJc w:val="left"/>
      <w:pPr>
        <w:ind w:left="720" w:hanging="360"/>
      </w:pPr>
      <w:rPr>
        <w:b/>
        <w:bCs/>
      </w:rPr>
    </w:lvl>
    <w:lvl w:ilvl="1">
      <w:start w:val="5"/>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593707315">
    <w:abstractNumId w:val="15"/>
  </w:num>
  <w:num w:numId="2" w16cid:durableId="431976063">
    <w:abstractNumId w:val="2"/>
  </w:num>
  <w:num w:numId="3" w16cid:durableId="878131319">
    <w:abstractNumId w:val="1"/>
  </w:num>
  <w:num w:numId="4" w16cid:durableId="568347675">
    <w:abstractNumId w:val="7"/>
  </w:num>
  <w:num w:numId="5" w16cid:durableId="1564438844">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2542355">
    <w:abstractNumId w:val="5"/>
  </w:num>
  <w:num w:numId="7" w16cid:durableId="2021735363">
    <w:abstractNumId w:val="16"/>
  </w:num>
  <w:num w:numId="8" w16cid:durableId="1168597279">
    <w:abstractNumId w:val="9"/>
  </w:num>
  <w:num w:numId="9" w16cid:durableId="1956792177">
    <w:abstractNumId w:val="11"/>
  </w:num>
  <w:num w:numId="10" w16cid:durableId="427888292">
    <w:abstractNumId w:val="0"/>
  </w:num>
  <w:num w:numId="11" w16cid:durableId="494225932">
    <w:abstractNumId w:val="10"/>
  </w:num>
  <w:num w:numId="12" w16cid:durableId="921765242">
    <w:abstractNumId w:val="14"/>
  </w:num>
  <w:num w:numId="13" w16cid:durableId="1517495668">
    <w:abstractNumId w:val="13"/>
  </w:num>
  <w:num w:numId="14" w16cid:durableId="1159809397">
    <w:abstractNumId w:val="12"/>
  </w:num>
  <w:num w:numId="15" w16cid:durableId="1214846672">
    <w:abstractNumId w:val="3"/>
  </w:num>
  <w:num w:numId="16" w16cid:durableId="2011328820">
    <w:abstractNumId w:val="17"/>
  </w:num>
  <w:num w:numId="17" w16cid:durableId="1607688471">
    <w:abstractNumId w:val="4"/>
  </w:num>
  <w:num w:numId="18" w16cid:durableId="620500720">
    <w:abstractNumId w:val="8"/>
  </w:num>
  <w:num w:numId="19" w16cid:durableId="7865879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7B"/>
    <w:rsid w:val="0004411B"/>
    <w:rsid w:val="00077AE2"/>
    <w:rsid w:val="00086D42"/>
    <w:rsid w:val="00092A2C"/>
    <w:rsid w:val="000D7431"/>
    <w:rsid w:val="000E23FC"/>
    <w:rsid w:val="00111033"/>
    <w:rsid w:val="00127A17"/>
    <w:rsid w:val="00155274"/>
    <w:rsid w:val="00166704"/>
    <w:rsid w:val="00180BB0"/>
    <w:rsid w:val="00193251"/>
    <w:rsid w:val="001960A0"/>
    <w:rsid w:val="001963A2"/>
    <w:rsid w:val="001C705C"/>
    <w:rsid w:val="0020225D"/>
    <w:rsid w:val="0021561A"/>
    <w:rsid w:val="002930E7"/>
    <w:rsid w:val="002A2FBD"/>
    <w:rsid w:val="002F5FE9"/>
    <w:rsid w:val="0030749C"/>
    <w:rsid w:val="00310744"/>
    <w:rsid w:val="00340E0A"/>
    <w:rsid w:val="003464E7"/>
    <w:rsid w:val="00355875"/>
    <w:rsid w:val="00365B53"/>
    <w:rsid w:val="00371C8B"/>
    <w:rsid w:val="003B15AB"/>
    <w:rsid w:val="003C765D"/>
    <w:rsid w:val="003D55BD"/>
    <w:rsid w:val="003D7108"/>
    <w:rsid w:val="003E5C55"/>
    <w:rsid w:val="003F354B"/>
    <w:rsid w:val="00407001"/>
    <w:rsid w:val="00422120"/>
    <w:rsid w:val="004233E1"/>
    <w:rsid w:val="00435B27"/>
    <w:rsid w:val="0044114B"/>
    <w:rsid w:val="00452FBD"/>
    <w:rsid w:val="00490A03"/>
    <w:rsid w:val="004B1C60"/>
    <w:rsid w:val="004C0856"/>
    <w:rsid w:val="004C55AE"/>
    <w:rsid w:val="004C7A9C"/>
    <w:rsid w:val="004E2185"/>
    <w:rsid w:val="00501CE6"/>
    <w:rsid w:val="005112DC"/>
    <w:rsid w:val="00516EE3"/>
    <w:rsid w:val="00547A75"/>
    <w:rsid w:val="00550CE3"/>
    <w:rsid w:val="00551BA0"/>
    <w:rsid w:val="005714CA"/>
    <w:rsid w:val="00571608"/>
    <w:rsid w:val="00572BE3"/>
    <w:rsid w:val="00572FC4"/>
    <w:rsid w:val="0059599E"/>
    <w:rsid w:val="005B18F4"/>
    <w:rsid w:val="005B3EED"/>
    <w:rsid w:val="005B52C1"/>
    <w:rsid w:val="005B6A37"/>
    <w:rsid w:val="005B6B46"/>
    <w:rsid w:val="005B78E5"/>
    <w:rsid w:val="005B7A4A"/>
    <w:rsid w:val="005C52FE"/>
    <w:rsid w:val="005F6DFE"/>
    <w:rsid w:val="006004FA"/>
    <w:rsid w:val="00611121"/>
    <w:rsid w:val="00616D29"/>
    <w:rsid w:val="00622FAE"/>
    <w:rsid w:val="00626477"/>
    <w:rsid w:val="00643693"/>
    <w:rsid w:val="006A097B"/>
    <w:rsid w:val="006A19DA"/>
    <w:rsid w:val="006B288D"/>
    <w:rsid w:val="006E1479"/>
    <w:rsid w:val="006F2780"/>
    <w:rsid w:val="007219BC"/>
    <w:rsid w:val="00725833"/>
    <w:rsid w:val="00745116"/>
    <w:rsid w:val="00796DE1"/>
    <w:rsid w:val="007A5428"/>
    <w:rsid w:val="007E6051"/>
    <w:rsid w:val="00816EA5"/>
    <w:rsid w:val="00835972"/>
    <w:rsid w:val="008542B3"/>
    <w:rsid w:val="008619A0"/>
    <w:rsid w:val="00865718"/>
    <w:rsid w:val="00871B1C"/>
    <w:rsid w:val="00874237"/>
    <w:rsid w:val="008905E9"/>
    <w:rsid w:val="008D699C"/>
    <w:rsid w:val="0090071A"/>
    <w:rsid w:val="009052A8"/>
    <w:rsid w:val="00917A70"/>
    <w:rsid w:val="009546B0"/>
    <w:rsid w:val="009565A1"/>
    <w:rsid w:val="00963AE5"/>
    <w:rsid w:val="009957E2"/>
    <w:rsid w:val="009A3333"/>
    <w:rsid w:val="009C5BD8"/>
    <w:rsid w:val="009E622F"/>
    <w:rsid w:val="009F651D"/>
    <w:rsid w:val="00A11C26"/>
    <w:rsid w:val="00A16F5A"/>
    <w:rsid w:val="00A67E58"/>
    <w:rsid w:val="00A73FE7"/>
    <w:rsid w:val="00A808D9"/>
    <w:rsid w:val="00AB3499"/>
    <w:rsid w:val="00AC089D"/>
    <w:rsid w:val="00AC1494"/>
    <w:rsid w:val="00AC5747"/>
    <w:rsid w:val="00AC7747"/>
    <w:rsid w:val="00B33682"/>
    <w:rsid w:val="00B51C73"/>
    <w:rsid w:val="00B836B5"/>
    <w:rsid w:val="00B901AE"/>
    <w:rsid w:val="00BA364E"/>
    <w:rsid w:val="00BA79A8"/>
    <w:rsid w:val="00BB2AC2"/>
    <w:rsid w:val="00BB58C8"/>
    <w:rsid w:val="00BD0F38"/>
    <w:rsid w:val="00BD7A6C"/>
    <w:rsid w:val="00C265A5"/>
    <w:rsid w:val="00C317C1"/>
    <w:rsid w:val="00C34035"/>
    <w:rsid w:val="00C63E20"/>
    <w:rsid w:val="00C65B07"/>
    <w:rsid w:val="00C665D1"/>
    <w:rsid w:val="00C717C8"/>
    <w:rsid w:val="00C8173C"/>
    <w:rsid w:val="00C9389C"/>
    <w:rsid w:val="00CF5E42"/>
    <w:rsid w:val="00CF6B8D"/>
    <w:rsid w:val="00CF78CD"/>
    <w:rsid w:val="00D25FEF"/>
    <w:rsid w:val="00D26429"/>
    <w:rsid w:val="00D9176F"/>
    <w:rsid w:val="00DB513A"/>
    <w:rsid w:val="00DB74AB"/>
    <w:rsid w:val="00DD1B52"/>
    <w:rsid w:val="00DF495B"/>
    <w:rsid w:val="00E1056E"/>
    <w:rsid w:val="00E16DB7"/>
    <w:rsid w:val="00E22729"/>
    <w:rsid w:val="00E965BC"/>
    <w:rsid w:val="00EB38FD"/>
    <w:rsid w:val="00EE311C"/>
    <w:rsid w:val="00EF3E1B"/>
    <w:rsid w:val="00F12AC1"/>
    <w:rsid w:val="00F16C5F"/>
    <w:rsid w:val="00F36281"/>
    <w:rsid w:val="00F52C9F"/>
    <w:rsid w:val="00FA52FF"/>
    <w:rsid w:val="00FA7AAB"/>
    <w:rsid w:val="00FC3A2C"/>
    <w:rsid w:val="00FD49D7"/>
    <w:rsid w:val="00FD79F1"/>
    <w:rsid w:val="00F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9E2"/>
  <w15:chartTrackingRefBased/>
  <w15:docId w15:val="{0AE8204B-29B7-48BC-A8A6-DAB1D238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C317C1"/>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97B"/>
    <w:pPr>
      <w:ind w:left="720"/>
      <w:contextualSpacing/>
    </w:pPr>
  </w:style>
  <w:style w:type="paragraph" w:styleId="Header">
    <w:name w:val="header"/>
    <w:basedOn w:val="Normal"/>
    <w:link w:val="HeaderChar"/>
    <w:uiPriority w:val="99"/>
    <w:unhideWhenUsed/>
    <w:rsid w:val="00F3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281"/>
  </w:style>
  <w:style w:type="paragraph" w:styleId="Footer">
    <w:name w:val="footer"/>
    <w:basedOn w:val="Normal"/>
    <w:link w:val="FooterChar"/>
    <w:uiPriority w:val="99"/>
    <w:unhideWhenUsed/>
    <w:rsid w:val="00F3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281"/>
  </w:style>
  <w:style w:type="character" w:customStyle="1" w:styleId="Heading2Char">
    <w:name w:val="Heading 2 Char"/>
    <w:basedOn w:val="DefaultParagraphFont"/>
    <w:link w:val="Heading2"/>
    <w:rsid w:val="00C317C1"/>
    <w:rPr>
      <w:rFonts w:ascii="Times New Roman Bold" w:eastAsia="Times New Roman" w:hAnsi="Times New Roman Bold" w:cs="Times New Roman"/>
      <w:b/>
    </w:rPr>
  </w:style>
  <w:style w:type="table" w:styleId="TableGrid">
    <w:name w:val="Table Grid"/>
    <w:basedOn w:val="TableNormal"/>
    <w:uiPriority w:val="39"/>
    <w:rsid w:val="00C3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B1C"/>
    <w:rPr>
      <w:color w:val="0563C1" w:themeColor="hyperlink"/>
      <w:u w:val="single"/>
    </w:rPr>
  </w:style>
  <w:style w:type="character" w:styleId="UnresolvedMention">
    <w:name w:val="Unresolved Mention"/>
    <w:basedOn w:val="DefaultParagraphFont"/>
    <w:uiPriority w:val="99"/>
    <w:semiHidden/>
    <w:unhideWhenUsed/>
    <w:rsid w:val="00871B1C"/>
    <w:rPr>
      <w:color w:val="605E5C"/>
      <w:shd w:val="clear" w:color="auto" w:fill="E1DFDD"/>
    </w:rPr>
  </w:style>
  <w:style w:type="paragraph" w:customStyle="1" w:styleId="AOGenNum2">
    <w:name w:val="AOGenNum2"/>
    <w:basedOn w:val="Normal"/>
    <w:next w:val="Normal"/>
    <w:rsid w:val="009F651D"/>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9F651D"/>
    <w:pPr>
      <w:numPr>
        <w:numId w:val="19"/>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cstheme="minorHAnsi"/>
      <w:b/>
    </w:rPr>
  </w:style>
  <w:style w:type="paragraph" w:customStyle="1" w:styleId="P68B1DB1-Normal2">
    <w:name w:val="P68B1DB1-Normal2"/>
    <w:basedOn w:val="Normal"/>
    <w:rPr>
      <w:rFonts w:ascii="Calibri" w:eastAsia="Arial Narrow" w:hAnsi="Calibri" w:cs="Calibri"/>
      <w:color w:val="0E101A"/>
    </w:rPr>
  </w:style>
  <w:style w:type="paragraph" w:customStyle="1" w:styleId="P68B1DB1-Normal3">
    <w:name w:val="P68B1DB1-Normal3"/>
    <w:basedOn w:val="Normal"/>
    <w:rPr>
      <w:rFonts w:eastAsia="Arial Narrow" w:cstheme="minorHAnsi"/>
      <w:color w:val="0E101A"/>
    </w:rPr>
  </w:style>
  <w:style w:type="paragraph" w:customStyle="1" w:styleId="P68B1DB1-ListParagraph4">
    <w:name w:val="P68B1DB1-ListParagraph4"/>
    <w:basedOn w:val="ListParagraph"/>
    <w:rPr>
      <w:sz w:val="24"/>
    </w:rPr>
  </w:style>
  <w:style w:type="paragraph" w:customStyle="1" w:styleId="P68B1DB1-Normal5">
    <w:name w:val="P68B1DB1-Normal5"/>
    <w:basedOn w:val="Normal"/>
    <w:rPr>
      <w:rFonts w:cstheme="minorHAnsi"/>
    </w:rPr>
  </w:style>
  <w:style w:type="paragraph" w:customStyle="1" w:styleId="P68B1DB1-Footer6">
    <w:name w:val="P68B1DB1-Footer6"/>
    <w:basedOn w:val="Footer"/>
    <w:rPr>
      <w:rFonts w:ascii="Lato" w:hAnsi="Lato" w:cs="Tahoma"/>
      <w:b/>
      <w:color w:val="000000"/>
      <w:sz w:val="16"/>
    </w:rPr>
  </w:style>
  <w:style w:type="paragraph" w:customStyle="1" w:styleId="P68B1DB1-Footer7">
    <w:name w:val="P68B1DB1-Footer7"/>
    <w:basedOn w:val="Footer"/>
    <w:rPr>
      <w:rFonts w:ascii="Lato" w:hAnsi="Lato" w:cs="Tahoma"/>
      <w:color w:val="595959"/>
      <w:sz w:val="16"/>
    </w:rPr>
  </w:style>
  <w:style w:type="paragraph" w:customStyle="1" w:styleId="P68B1DB1-Footer8">
    <w:name w:val="P68B1DB1-Footer8"/>
    <w:basedOn w:val="Footer"/>
    <w:rPr>
      <w:rFonts w:ascii="Lato" w:hAnsi="Lato"/>
      <w:color w:val="59595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7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Marcu</dc:creator>
  <cp:keywords/>
  <dc:description/>
  <cp:lastModifiedBy>Gloria Haas</cp:lastModifiedBy>
  <cp:revision>42</cp:revision>
  <dcterms:created xsi:type="dcterms:W3CDTF">2022-02-04T13:26:00Z</dcterms:created>
  <dcterms:modified xsi:type="dcterms:W3CDTF">2022-07-20T07:57:00Z</dcterms:modified>
</cp:coreProperties>
</file>